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E8" w:rsidRDefault="001B35E8" w:rsidP="001B35E8">
      <w:pPr>
        <w:pStyle w:val="Overskrift3"/>
        <w:rPr>
          <w:lang w:val="en-US"/>
        </w:rPr>
      </w:pPr>
      <w:bookmarkStart w:id="0" w:name="_Toc380605672"/>
      <w:r>
        <w:rPr>
          <w:lang w:val="en-US"/>
        </w:rPr>
        <w:t xml:space="preserve">Reservoir Pressure: </w:t>
      </w:r>
      <w:r w:rsidRPr="0036543E">
        <w:rPr>
          <w:lang w:val="en-US"/>
        </w:rPr>
        <w:t>Field example</w:t>
      </w:r>
      <w:bookmarkEnd w:id="0"/>
    </w:p>
    <w:p w:rsidR="001B35E8" w:rsidRDefault="001B35E8" w:rsidP="001B35E8">
      <w:pPr>
        <w:rPr>
          <w:lang w:val="en-US"/>
        </w:rPr>
      </w:pPr>
      <w:proofErr w:type="spellStart"/>
      <w:r w:rsidRPr="0036543E">
        <w:rPr>
          <w:lang w:val="en-US"/>
        </w:rPr>
        <w:t>Jotun</w:t>
      </w:r>
      <w:proofErr w:type="spellEnd"/>
      <w:r w:rsidRPr="0036543E">
        <w:rPr>
          <w:lang w:val="en-US"/>
        </w:rPr>
        <w:t xml:space="preserve"> is an oil field in the middle part of the North Sea</w:t>
      </w:r>
      <w:r>
        <w:rPr>
          <w:lang w:val="en-US"/>
        </w:rPr>
        <w:t xml:space="preserve">. The reservoir consists of three major structures (Elli and Tau West) and one small (Elli South). See Fig.1. Notice that the sandstone reservoirs belong to </w:t>
      </w:r>
      <w:proofErr w:type="spellStart"/>
      <w:r>
        <w:rPr>
          <w:lang w:val="en-US"/>
        </w:rPr>
        <w:t>Heimdal</w:t>
      </w:r>
      <w:proofErr w:type="spellEnd"/>
      <w:r>
        <w:rPr>
          <w:lang w:val="en-US"/>
        </w:rPr>
        <w:t xml:space="preserve"> formation of Paleocene age. This is the same formation as the </w:t>
      </w:r>
      <w:proofErr w:type="spellStart"/>
      <w:r>
        <w:rPr>
          <w:lang w:val="en-US"/>
        </w:rPr>
        <w:t>Heimdal</w:t>
      </w:r>
      <w:proofErr w:type="spellEnd"/>
      <w:r>
        <w:rPr>
          <w:lang w:val="en-US"/>
        </w:rPr>
        <w:t xml:space="preserve"> gas field belongs to (see Fig.2). This field had a production start in 1985 while </w:t>
      </w:r>
      <w:proofErr w:type="spellStart"/>
      <w:r>
        <w:rPr>
          <w:lang w:val="en-US"/>
        </w:rPr>
        <w:t>Jotun</w:t>
      </w:r>
      <w:proofErr w:type="spellEnd"/>
      <w:r>
        <w:rPr>
          <w:lang w:val="en-US"/>
        </w:rPr>
        <w:t xml:space="preserve"> began production in year 2000. </w:t>
      </w:r>
    </w:p>
    <w:p w:rsidR="001B35E8" w:rsidRDefault="001B35E8" w:rsidP="001B35E8">
      <w:pPr>
        <w:rPr>
          <w:lang w:val="en-US"/>
        </w:rPr>
      </w:pPr>
    </w:p>
    <w:p w:rsidR="001B35E8" w:rsidRPr="00585447" w:rsidRDefault="001B35E8" w:rsidP="001B35E8">
      <w:pPr>
        <w:rPr>
          <w:b/>
          <w:i/>
          <w:sz w:val="20"/>
          <w:szCs w:val="20"/>
          <w:lang w:val="en-US"/>
        </w:rPr>
      </w:pPr>
      <w:r w:rsidRPr="00585447">
        <w:rPr>
          <w:b/>
          <w:i/>
          <w:sz w:val="20"/>
          <w:szCs w:val="20"/>
          <w:lang w:val="en-US"/>
        </w:rPr>
        <w:t>Fig.</w:t>
      </w:r>
      <w:r>
        <w:rPr>
          <w:b/>
          <w:i/>
          <w:sz w:val="20"/>
          <w:szCs w:val="20"/>
          <w:lang w:val="en-US"/>
        </w:rPr>
        <w:t xml:space="preserve">1 </w:t>
      </w:r>
      <w:proofErr w:type="spellStart"/>
      <w:r w:rsidRPr="00585447">
        <w:rPr>
          <w:b/>
          <w:i/>
          <w:sz w:val="20"/>
          <w:szCs w:val="20"/>
          <w:lang w:val="en-US"/>
        </w:rPr>
        <w:t>Jotun</w:t>
      </w:r>
      <w:proofErr w:type="spellEnd"/>
      <w:r w:rsidRPr="00585447">
        <w:rPr>
          <w:b/>
          <w:i/>
          <w:sz w:val="20"/>
          <w:szCs w:val="20"/>
          <w:lang w:val="en-US"/>
        </w:rPr>
        <w:t xml:space="preserve"> oil field</w:t>
      </w:r>
    </w:p>
    <w:p w:rsidR="001B35E8" w:rsidRDefault="001B35E8" w:rsidP="001B35E8">
      <w:pPr>
        <w:rPr>
          <w:lang w:val="en-US"/>
        </w:rPr>
      </w:pPr>
      <w:r w:rsidRPr="006E29DD">
        <w:rPr>
          <w:noProof/>
          <w:lang w:eastAsia="nb-NO"/>
        </w:rPr>
        <w:drawing>
          <wp:inline distT="0" distB="0" distL="0" distR="0">
            <wp:extent cx="3419475" cy="3280242"/>
            <wp:effectExtent l="19050" t="0" r="9525" b="0"/>
            <wp:docPr id="1" name="Bild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688" t="7330" r="17095" b="8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597" cy="3283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35E8" w:rsidRDefault="001B35E8" w:rsidP="001B35E8">
      <w:pPr>
        <w:rPr>
          <w:lang w:val="en-US"/>
        </w:rPr>
      </w:pPr>
    </w:p>
    <w:p w:rsidR="001B35E8" w:rsidRPr="00585447" w:rsidRDefault="001B35E8" w:rsidP="001B35E8">
      <w:pPr>
        <w:rPr>
          <w:b/>
          <w:i/>
          <w:sz w:val="20"/>
          <w:szCs w:val="20"/>
          <w:lang w:val="en-US"/>
        </w:rPr>
      </w:pPr>
      <w:r w:rsidRPr="00585447">
        <w:rPr>
          <w:b/>
          <w:i/>
          <w:sz w:val="20"/>
          <w:szCs w:val="20"/>
          <w:lang w:val="en-US"/>
        </w:rPr>
        <w:t xml:space="preserve">Fig. </w:t>
      </w:r>
      <w:r>
        <w:rPr>
          <w:b/>
          <w:i/>
          <w:sz w:val="20"/>
          <w:szCs w:val="20"/>
          <w:lang w:val="en-US"/>
        </w:rPr>
        <w:t xml:space="preserve">2 </w:t>
      </w:r>
      <w:r w:rsidRPr="00585447">
        <w:rPr>
          <w:b/>
          <w:i/>
          <w:sz w:val="20"/>
          <w:szCs w:val="20"/>
          <w:lang w:val="en-US"/>
        </w:rPr>
        <w:t xml:space="preserve">Structural cross section in the </w:t>
      </w:r>
      <w:proofErr w:type="spellStart"/>
      <w:r w:rsidRPr="00585447">
        <w:rPr>
          <w:b/>
          <w:i/>
          <w:sz w:val="20"/>
          <w:szCs w:val="20"/>
          <w:lang w:val="en-US"/>
        </w:rPr>
        <w:t>Jotun</w:t>
      </w:r>
      <w:proofErr w:type="spellEnd"/>
      <w:r w:rsidRPr="00585447">
        <w:rPr>
          <w:b/>
          <w:i/>
          <w:sz w:val="20"/>
          <w:szCs w:val="20"/>
          <w:lang w:val="en-US"/>
        </w:rPr>
        <w:t xml:space="preserve"> area</w:t>
      </w:r>
    </w:p>
    <w:p w:rsidR="001B35E8" w:rsidRDefault="001B35E8" w:rsidP="001B35E8">
      <w:pPr>
        <w:rPr>
          <w:lang w:val="en-US"/>
        </w:rPr>
      </w:pPr>
      <w:r>
        <w:rPr>
          <w:noProof/>
          <w:lang w:eastAsia="nb-NO"/>
        </w:rPr>
        <w:drawing>
          <wp:inline distT="0" distB="0" distL="0" distR="0">
            <wp:extent cx="5383696" cy="3333750"/>
            <wp:effectExtent l="19050" t="0" r="7454" b="0"/>
            <wp:docPr id="2" name="Bild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333" t="6111" r="27500" b="4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696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35E8" w:rsidRDefault="001B35E8" w:rsidP="001B35E8">
      <w:pPr>
        <w:rPr>
          <w:lang w:val="en-US"/>
        </w:rPr>
      </w:pPr>
      <w:r>
        <w:rPr>
          <w:lang w:val="en-US"/>
        </w:rPr>
        <w:br w:type="page"/>
      </w:r>
    </w:p>
    <w:p w:rsidR="001B35E8" w:rsidRDefault="001B35E8" w:rsidP="001B35E8">
      <w:pPr>
        <w:rPr>
          <w:lang w:val="en-US"/>
        </w:rPr>
      </w:pPr>
      <w:r w:rsidRPr="00575DBB">
        <w:rPr>
          <w:lang w:val="en-US"/>
        </w:rPr>
        <w:lastRenderedPageBreak/>
        <w:t xml:space="preserve">Relevant reservoir data is given in Table </w:t>
      </w:r>
      <w:r>
        <w:rPr>
          <w:lang w:val="en-US"/>
        </w:rPr>
        <w:t>1.</w:t>
      </w:r>
    </w:p>
    <w:p w:rsidR="001B35E8" w:rsidRPr="00575DBB" w:rsidRDefault="001B35E8" w:rsidP="001B35E8">
      <w:pPr>
        <w:rPr>
          <w:lang w:val="en-US"/>
        </w:rPr>
      </w:pPr>
    </w:p>
    <w:p w:rsidR="001B35E8" w:rsidRPr="00585447" w:rsidRDefault="001B35E8" w:rsidP="001B35E8">
      <w:pPr>
        <w:rPr>
          <w:b/>
          <w:i/>
          <w:sz w:val="20"/>
          <w:szCs w:val="20"/>
          <w:lang w:val="en-US"/>
        </w:rPr>
      </w:pPr>
      <w:r w:rsidRPr="00585447">
        <w:rPr>
          <w:b/>
          <w:i/>
          <w:sz w:val="20"/>
          <w:szCs w:val="20"/>
          <w:lang w:val="en-US"/>
        </w:rPr>
        <w:t xml:space="preserve">Table </w:t>
      </w:r>
      <w:r>
        <w:rPr>
          <w:b/>
          <w:i/>
          <w:sz w:val="20"/>
          <w:szCs w:val="20"/>
          <w:lang w:val="en-US"/>
        </w:rPr>
        <w:t xml:space="preserve">1 </w:t>
      </w:r>
      <w:proofErr w:type="spellStart"/>
      <w:r w:rsidRPr="00585447">
        <w:rPr>
          <w:b/>
          <w:i/>
          <w:sz w:val="20"/>
          <w:szCs w:val="20"/>
          <w:lang w:val="en-US"/>
        </w:rPr>
        <w:t>Jotun</w:t>
      </w:r>
      <w:proofErr w:type="spellEnd"/>
      <w:r w:rsidRPr="00585447">
        <w:rPr>
          <w:b/>
          <w:i/>
          <w:sz w:val="20"/>
          <w:szCs w:val="20"/>
          <w:lang w:val="en-US"/>
        </w:rPr>
        <w:t xml:space="preserve"> reservoir data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 w:rsidR="001B35E8" w:rsidTr="003F0799"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B35E8" w:rsidRDefault="001B35E8" w:rsidP="003F0799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B35E8" w:rsidRPr="00575DBB" w:rsidRDefault="001B35E8" w:rsidP="003F0799">
            <w:pPr>
              <w:jc w:val="center"/>
              <w:rPr>
                <w:lang w:val="en-US"/>
              </w:rPr>
            </w:pPr>
            <w:r w:rsidRPr="00575DBB">
              <w:rPr>
                <w:position w:val="-12"/>
                <w:lang w:val="en-US"/>
              </w:rPr>
              <w:object w:dxaOrig="3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8.75pt" o:ole="">
                  <v:imagedata r:id="rId7" o:title=""/>
                </v:shape>
                <o:OLEObject Type="Embed" ProgID="Equation.3" ShapeID="_x0000_i1025" DrawAspect="Content" ObjectID="_1479813857" r:id="rId8"/>
              </w:object>
            </w:r>
            <w:r>
              <w:rPr>
                <w:lang w:val="en-US"/>
              </w:rPr>
              <w:t xml:space="preserve"> (kg/m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B35E8" w:rsidRPr="00575DBB" w:rsidRDefault="001B35E8" w:rsidP="003F0799">
            <w:pPr>
              <w:jc w:val="center"/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oi</w:t>
            </w:r>
            <w:proofErr w:type="spellEnd"/>
            <w:r>
              <w:rPr>
                <w:lang w:val="en-US"/>
              </w:rPr>
              <w:t xml:space="preserve"> (Rm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/Sm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B35E8" w:rsidRPr="00575DBB" w:rsidRDefault="001B35E8" w:rsidP="003F0799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s</w:t>
            </w:r>
            <w:r>
              <w:rPr>
                <w:lang w:val="en-US"/>
              </w:rPr>
              <w:t xml:space="preserve"> (Sm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/Sm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B35E8" w:rsidRPr="0097429A" w:rsidRDefault="001B35E8" w:rsidP="003F0799">
            <w:pPr>
              <w:jc w:val="center"/>
              <w:rPr>
                <w:lang w:val="en-US"/>
              </w:rPr>
            </w:pPr>
            <w:r w:rsidRPr="00575DBB">
              <w:rPr>
                <w:position w:val="-14"/>
                <w:lang w:val="en-US"/>
              </w:rPr>
              <w:object w:dxaOrig="340" w:dyaOrig="400">
                <v:shape id="_x0000_i1026" type="#_x0000_t75" style="width:17.25pt;height:20.25pt" o:ole="">
                  <v:imagedata r:id="rId9" o:title=""/>
                </v:shape>
                <o:OLEObject Type="Embed" ProgID="Equation.3" ShapeID="_x0000_i1026" DrawAspect="Content" ObjectID="_1479813858" r:id="rId10"/>
              </w:object>
            </w:r>
            <w:r>
              <w:rPr>
                <w:lang w:val="en-US"/>
              </w:rPr>
              <w:t xml:space="preserve"> (kg/Sm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</w:tr>
      <w:tr w:rsidR="001B35E8" w:rsidTr="003F0799">
        <w:tc>
          <w:tcPr>
            <w:tcW w:w="1842" w:type="dxa"/>
            <w:tcBorders>
              <w:top w:val="single" w:sz="4" w:space="0" w:color="auto"/>
            </w:tcBorders>
          </w:tcPr>
          <w:p w:rsidR="001B35E8" w:rsidRDefault="001B35E8" w:rsidP="003F07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Elli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B35E8" w:rsidRDefault="001B35E8" w:rsidP="003F07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848,7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B35E8" w:rsidRDefault="001B35E8" w:rsidP="003F07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B35E8" w:rsidRDefault="001B35E8" w:rsidP="003F07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B35E8" w:rsidRDefault="001B35E8" w:rsidP="003F07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1,04</w:t>
            </w:r>
          </w:p>
        </w:tc>
      </w:tr>
      <w:tr w:rsidR="001B35E8" w:rsidTr="003F0799">
        <w:tc>
          <w:tcPr>
            <w:tcW w:w="1842" w:type="dxa"/>
          </w:tcPr>
          <w:p w:rsidR="001B35E8" w:rsidRDefault="001B35E8" w:rsidP="003F07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Tau</w:t>
            </w:r>
          </w:p>
        </w:tc>
        <w:tc>
          <w:tcPr>
            <w:tcW w:w="1842" w:type="dxa"/>
          </w:tcPr>
          <w:p w:rsidR="001B35E8" w:rsidRDefault="001B35E8" w:rsidP="003F07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865,2</w:t>
            </w:r>
          </w:p>
        </w:tc>
        <w:tc>
          <w:tcPr>
            <w:tcW w:w="1842" w:type="dxa"/>
          </w:tcPr>
          <w:p w:rsidR="001B35E8" w:rsidRDefault="001B35E8" w:rsidP="003F07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1,29</w:t>
            </w:r>
          </w:p>
        </w:tc>
        <w:tc>
          <w:tcPr>
            <w:tcW w:w="1843" w:type="dxa"/>
          </w:tcPr>
          <w:p w:rsidR="001B35E8" w:rsidRDefault="001B35E8" w:rsidP="003F07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843" w:type="dxa"/>
          </w:tcPr>
          <w:p w:rsidR="001B35E8" w:rsidRDefault="001B35E8" w:rsidP="003F07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1,05</w:t>
            </w:r>
          </w:p>
        </w:tc>
      </w:tr>
    </w:tbl>
    <w:p w:rsidR="001B35E8" w:rsidRDefault="001B35E8" w:rsidP="001B35E8">
      <w:pPr>
        <w:rPr>
          <w:lang w:val="en-US"/>
        </w:rPr>
      </w:pPr>
    </w:p>
    <w:p w:rsidR="001B35E8" w:rsidRDefault="001B35E8" w:rsidP="001B35E8">
      <w:pPr>
        <w:rPr>
          <w:lang w:val="en-US"/>
        </w:rPr>
      </w:pPr>
      <w:r>
        <w:rPr>
          <w:lang w:val="en-US"/>
        </w:rPr>
        <w:t xml:space="preserve">Density gradient of water: </w:t>
      </w:r>
      <w:proofErr w:type="gramStart"/>
      <w:r>
        <w:rPr>
          <w:lang w:val="en-US"/>
        </w:rPr>
        <w:t>0,102 bar/m</w:t>
      </w:r>
      <w:proofErr w:type="gramEnd"/>
    </w:p>
    <w:p w:rsidR="001B35E8" w:rsidRDefault="001B35E8" w:rsidP="001B35E8">
      <w:pPr>
        <w:rPr>
          <w:lang w:val="en-US"/>
        </w:rPr>
      </w:pPr>
      <w:r>
        <w:rPr>
          <w:lang w:val="en-US"/>
        </w:rPr>
        <w:t>Measured pressure data is given in Table 2</w:t>
      </w:r>
    </w:p>
    <w:p w:rsidR="001B35E8" w:rsidRDefault="001B35E8" w:rsidP="001B35E8">
      <w:pPr>
        <w:rPr>
          <w:lang w:val="en-US"/>
        </w:rPr>
      </w:pPr>
      <w:r>
        <w:rPr>
          <w:lang w:val="en-US"/>
        </w:rPr>
        <w:t xml:space="preserve"> </w:t>
      </w:r>
    </w:p>
    <w:p w:rsidR="001B35E8" w:rsidRPr="00585447" w:rsidRDefault="001B35E8" w:rsidP="001B35E8">
      <w:pPr>
        <w:rPr>
          <w:b/>
          <w:i/>
          <w:sz w:val="20"/>
          <w:szCs w:val="20"/>
          <w:lang w:val="en-US"/>
        </w:rPr>
      </w:pPr>
      <w:r w:rsidRPr="00585447">
        <w:rPr>
          <w:b/>
          <w:i/>
          <w:sz w:val="20"/>
          <w:szCs w:val="20"/>
          <w:lang w:val="en-US"/>
        </w:rPr>
        <w:t xml:space="preserve">Table </w:t>
      </w:r>
      <w:r>
        <w:rPr>
          <w:b/>
          <w:i/>
          <w:sz w:val="20"/>
          <w:szCs w:val="20"/>
          <w:lang w:val="en-US"/>
        </w:rPr>
        <w:t xml:space="preserve">2 </w:t>
      </w:r>
      <w:r w:rsidRPr="00585447">
        <w:rPr>
          <w:b/>
          <w:i/>
          <w:sz w:val="20"/>
          <w:szCs w:val="20"/>
          <w:lang w:val="en-US"/>
        </w:rPr>
        <w:t>Pressure data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1B35E8" w:rsidTr="003F0799">
        <w:trPr>
          <w:jc w:val="center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1B35E8" w:rsidRDefault="001B35E8" w:rsidP="003F0799">
            <w:pPr>
              <w:rPr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Depth (m)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Elli pressure (bar)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Tau pressure (bar)</w:t>
            </w:r>
          </w:p>
        </w:tc>
      </w:tr>
      <w:tr w:rsidR="001B35E8" w:rsidTr="003F0799">
        <w:trPr>
          <w:jc w:val="center"/>
        </w:trPr>
        <w:tc>
          <w:tcPr>
            <w:tcW w:w="2303" w:type="dxa"/>
            <w:tcBorders>
              <w:top w:val="single" w:sz="4" w:space="0" w:color="auto"/>
            </w:tcBorders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Oil zone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2060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197,3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199,45</w:t>
            </w:r>
          </w:p>
        </w:tc>
      </w:tr>
      <w:tr w:rsidR="001B35E8" w:rsidTr="003F0799">
        <w:trPr>
          <w:jc w:val="center"/>
        </w:trPr>
        <w:tc>
          <w:tcPr>
            <w:tcW w:w="2303" w:type="dxa"/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Oil zone</w:t>
            </w:r>
          </w:p>
        </w:tc>
        <w:tc>
          <w:tcPr>
            <w:tcW w:w="2303" w:type="dxa"/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2070</w:t>
            </w:r>
          </w:p>
        </w:tc>
        <w:tc>
          <w:tcPr>
            <w:tcW w:w="2303" w:type="dxa"/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198,1</w:t>
            </w:r>
          </w:p>
        </w:tc>
        <w:tc>
          <w:tcPr>
            <w:tcW w:w="2303" w:type="dxa"/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200,18</w:t>
            </w:r>
          </w:p>
        </w:tc>
      </w:tr>
      <w:tr w:rsidR="001B35E8" w:rsidTr="003F0799">
        <w:trPr>
          <w:jc w:val="center"/>
        </w:trPr>
        <w:tc>
          <w:tcPr>
            <w:tcW w:w="2303" w:type="dxa"/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Oil zone</w:t>
            </w:r>
          </w:p>
        </w:tc>
        <w:tc>
          <w:tcPr>
            <w:tcW w:w="2303" w:type="dxa"/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2080</w:t>
            </w:r>
          </w:p>
        </w:tc>
        <w:tc>
          <w:tcPr>
            <w:tcW w:w="2303" w:type="dxa"/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198,86</w:t>
            </w:r>
          </w:p>
        </w:tc>
        <w:tc>
          <w:tcPr>
            <w:tcW w:w="2303" w:type="dxa"/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200,9</w:t>
            </w:r>
          </w:p>
        </w:tc>
      </w:tr>
      <w:tr w:rsidR="001B35E8" w:rsidTr="003F0799">
        <w:trPr>
          <w:jc w:val="center"/>
        </w:trPr>
        <w:tc>
          <w:tcPr>
            <w:tcW w:w="2303" w:type="dxa"/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Water zone</w:t>
            </w:r>
          </w:p>
        </w:tc>
        <w:tc>
          <w:tcPr>
            <w:tcW w:w="2303" w:type="dxa"/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2110</w:t>
            </w:r>
          </w:p>
        </w:tc>
        <w:tc>
          <w:tcPr>
            <w:tcW w:w="2303" w:type="dxa"/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201,53</w:t>
            </w:r>
          </w:p>
        </w:tc>
        <w:tc>
          <w:tcPr>
            <w:tcW w:w="2303" w:type="dxa"/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203,53</w:t>
            </w:r>
          </w:p>
        </w:tc>
      </w:tr>
      <w:tr w:rsidR="001B35E8" w:rsidTr="003F0799">
        <w:trPr>
          <w:jc w:val="center"/>
        </w:trPr>
        <w:tc>
          <w:tcPr>
            <w:tcW w:w="2303" w:type="dxa"/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Water zone</w:t>
            </w:r>
          </w:p>
        </w:tc>
        <w:tc>
          <w:tcPr>
            <w:tcW w:w="2303" w:type="dxa"/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2120</w:t>
            </w:r>
          </w:p>
        </w:tc>
        <w:tc>
          <w:tcPr>
            <w:tcW w:w="2303" w:type="dxa"/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202,55</w:t>
            </w:r>
          </w:p>
        </w:tc>
        <w:tc>
          <w:tcPr>
            <w:tcW w:w="2303" w:type="dxa"/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204,55</w:t>
            </w:r>
          </w:p>
        </w:tc>
      </w:tr>
      <w:tr w:rsidR="001B35E8" w:rsidTr="003F0799">
        <w:trPr>
          <w:jc w:val="center"/>
        </w:trPr>
        <w:tc>
          <w:tcPr>
            <w:tcW w:w="2303" w:type="dxa"/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Water zone</w:t>
            </w:r>
          </w:p>
        </w:tc>
        <w:tc>
          <w:tcPr>
            <w:tcW w:w="2303" w:type="dxa"/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2130</w:t>
            </w:r>
          </w:p>
        </w:tc>
        <w:tc>
          <w:tcPr>
            <w:tcW w:w="2303" w:type="dxa"/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203,57</w:t>
            </w:r>
          </w:p>
        </w:tc>
        <w:tc>
          <w:tcPr>
            <w:tcW w:w="2303" w:type="dxa"/>
          </w:tcPr>
          <w:p w:rsidR="001B35E8" w:rsidRDefault="001B35E8" w:rsidP="003F0799">
            <w:pPr>
              <w:rPr>
                <w:lang w:val="en-US"/>
              </w:rPr>
            </w:pPr>
            <w:r>
              <w:rPr>
                <w:lang w:val="en-US"/>
              </w:rPr>
              <w:t>205,57</w:t>
            </w:r>
          </w:p>
        </w:tc>
      </w:tr>
    </w:tbl>
    <w:p w:rsidR="001B35E8" w:rsidRDefault="001B35E8" w:rsidP="001B35E8">
      <w:pPr>
        <w:rPr>
          <w:lang w:val="en-US"/>
        </w:rPr>
      </w:pPr>
    </w:p>
    <w:p w:rsidR="001B35E8" w:rsidRDefault="001B35E8" w:rsidP="001B35E8">
      <w:pPr>
        <w:rPr>
          <w:lang w:val="en-US"/>
        </w:rPr>
      </w:pPr>
      <w:r w:rsidRPr="00970EBA">
        <w:rPr>
          <w:u w:val="single"/>
          <w:lang w:val="en-US"/>
        </w:rPr>
        <w:t>Questions</w:t>
      </w:r>
      <w:r>
        <w:rPr>
          <w:lang w:val="en-US"/>
        </w:rPr>
        <w:t>:</w:t>
      </w:r>
    </w:p>
    <w:p w:rsidR="001B35E8" w:rsidRDefault="001B35E8" w:rsidP="001B35E8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Use the formula </w:t>
      </w:r>
      <w:r w:rsidRPr="00CE3AAD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1820" w:dyaOrig="760">
          <v:shape id="_x0000_i1027" type="#_x0000_t75" style="width:90.75pt;height:38.25pt" o:ole="">
            <v:imagedata r:id="rId11" o:title=""/>
          </v:shape>
          <o:OLEObject Type="Embed" ProgID="Equation.3" ShapeID="_x0000_i1027" DrawAspect="Content" ObjectID="_1479813859" r:id="rId1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and calculate the density of Elli and Tau oils at reservoir condition</w:t>
      </w:r>
    </w:p>
    <w:p w:rsidR="001B35E8" w:rsidRDefault="001B35E8" w:rsidP="001B35E8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Make pressure vs. depth graphs in a spreadsheet and calculate OWC for Elli and Tau</w:t>
      </w:r>
    </w:p>
    <w:p w:rsidR="001B35E8" w:rsidRDefault="001B35E8" w:rsidP="001B35E8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Check if the measured pressure oil gradients agree with the oil densities calculated in a)</w:t>
      </w:r>
    </w:p>
    <w:p w:rsidR="001B35E8" w:rsidRDefault="001B35E8" w:rsidP="001B35E8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11BF">
        <w:rPr>
          <w:rFonts w:ascii="Times New Roman" w:hAnsi="Times New Roman" w:cs="Times New Roman"/>
          <w:sz w:val="24"/>
          <w:szCs w:val="24"/>
          <w:lang w:val="en-US"/>
        </w:rPr>
        <w:t xml:space="preserve">In the same graph, plot the normal water pressure vs. depth according to the formula </w:t>
      </w:r>
      <w:r w:rsidRPr="003112F4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579" w:dyaOrig="620">
          <v:shape id="_x0000_i1028" type="#_x0000_t75" style="width:79.5pt;height:30.75pt" o:ole="">
            <v:imagedata r:id="rId13" o:title=""/>
          </v:shape>
          <o:OLEObject Type="Embed" ProgID="Equation.3" ShapeID="_x0000_i1028" DrawAspect="Content" ObjectID="_1479813860" r:id="rId14"/>
        </w:object>
      </w:r>
      <w:r w:rsidRPr="007711BF">
        <w:rPr>
          <w:rFonts w:ascii="Times New Roman" w:hAnsi="Times New Roman" w:cs="Times New Roman"/>
          <w:sz w:val="24"/>
          <w:szCs w:val="24"/>
          <w:lang w:val="en-US"/>
        </w:rPr>
        <w:t xml:space="preserve"> (bar) and calculate </w:t>
      </w:r>
      <w:r w:rsidRPr="007711BF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7711BF">
        <w:rPr>
          <w:rFonts w:ascii="Times New Roman" w:hAnsi="Times New Roman" w:cs="Times New Roman"/>
          <w:sz w:val="24"/>
          <w:szCs w:val="24"/>
          <w:lang w:val="en-US"/>
        </w:rPr>
        <w:t xml:space="preserve"> in the equation </w:t>
      </w:r>
      <w:r w:rsidRPr="003112F4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960" w:dyaOrig="620">
          <v:shape id="_x0000_i1029" type="#_x0000_t75" style="width:98.25pt;height:30.75pt" o:ole="">
            <v:imagedata r:id="rId15" o:title=""/>
          </v:shape>
          <o:OLEObject Type="Embed" ProgID="Equation.3" ShapeID="_x0000_i1029" DrawAspect="Content" ObjectID="_1479813861" r:id="rId16"/>
        </w:object>
      </w:r>
      <w:r w:rsidRPr="007711BF">
        <w:rPr>
          <w:rFonts w:ascii="Times New Roman" w:hAnsi="Times New Roman" w:cs="Times New Roman"/>
          <w:sz w:val="24"/>
          <w:szCs w:val="24"/>
          <w:lang w:val="en-US"/>
        </w:rPr>
        <w:t xml:space="preserve">(bar) both for Elli and Tau. Explain why the reservoir is </w:t>
      </w:r>
      <w:proofErr w:type="spellStart"/>
      <w:r w:rsidRPr="007711BF">
        <w:rPr>
          <w:rFonts w:ascii="Times New Roman" w:hAnsi="Times New Roman" w:cs="Times New Roman"/>
          <w:sz w:val="24"/>
          <w:szCs w:val="24"/>
          <w:lang w:val="en-US"/>
        </w:rPr>
        <w:t>underpressured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A65D6" w:rsidRDefault="001B35E8">
      <w:r>
        <w:rPr>
          <w:lang w:val="en-US"/>
        </w:rPr>
        <w:br w:type="page"/>
      </w:r>
    </w:p>
    <w:sectPr w:rsidR="006A65D6" w:rsidSect="006A6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3C90"/>
    <w:multiLevelType w:val="hybridMultilevel"/>
    <w:tmpl w:val="70B2F42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B35E8"/>
    <w:rsid w:val="000401A7"/>
    <w:rsid w:val="001B35E8"/>
    <w:rsid w:val="006A65D6"/>
    <w:rsid w:val="009D689C"/>
    <w:rsid w:val="00F9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3">
    <w:name w:val="heading 3"/>
    <w:aliases w:val="Heading 3 Char Char"/>
    <w:basedOn w:val="Normal"/>
    <w:next w:val="Normal"/>
    <w:link w:val="Overskrift3Tegn"/>
    <w:qFormat/>
    <w:rsid w:val="001B35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aliases w:val="Heading 3 Char Char Tegn"/>
    <w:basedOn w:val="Standardskriftforavsnitt"/>
    <w:link w:val="Overskrift3"/>
    <w:rsid w:val="001B35E8"/>
    <w:rPr>
      <w:rFonts w:ascii="Arial" w:eastAsia="Times New Roman" w:hAnsi="Arial" w:cs="Arial"/>
      <w:b/>
      <w:bCs/>
      <w:sz w:val="26"/>
      <w:szCs w:val="26"/>
    </w:rPr>
  </w:style>
  <w:style w:type="paragraph" w:styleId="Listeavsnitt">
    <w:name w:val="List Paragraph"/>
    <w:basedOn w:val="Normal"/>
    <w:uiPriority w:val="34"/>
    <w:qFormat/>
    <w:rsid w:val="001B35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B35E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35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Magne Skarestad</dc:creator>
  <cp:lastModifiedBy>Magne Skarestad</cp:lastModifiedBy>
  <cp:revision>2</cp:revision>
  <dcterms:created xsi:type="dcterms:W3CDTF">2014-12-11T13:38:00Z</dcterms:created>
  <dcterms:modified xsi:type="dcterms:W3CDTF">2014-12-11T13:38:00Z</dcterms:modified>
</cp:coreProperties>
</file>